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6"/>
          <w:szCs w:val="36"/>
        </w:rPr>
      </w:pPr>
      <w:bookmarkStart w:id="0" w:name="_Toc532676388"/>
      <w:r>
        <w:rPr>
          <w:rFonts w:ascii="黑体" w:hAnsi="黑体" w:eastAsia="黑体"/>
          <w:bCs/>
          <w:sz w:val="36"/>
          <w:szCs w:val="36"/>
        </w:rPr>
        <w:t>2022-2023年度中华农业科技奖</w:t>
      </w:r>
      <w:bookmarkEnd w:id="0"/>
    </w:p>
    <w:p>
      <w:pPr>
        <w:jc w:val="center"/>
        <w:rPr>
          <w:rFonts w:ascii="黑体" w:hAnsi="黑体" w:eastAsia="黑体"/>
          <w:bCs/>
          <w:sz w:val="36"/>
          <w:szCs w:val="36"/>
        </w:rPr>
      </w:pPr>
      <w:r>
        <w:rPr>
          <w:rFonts w:hint="eastAsia" w:ascii="黑体" w:hAnsi="黑体" w:eastAsia="黑体"/>
          <w:bCs/>
          <w:sz w:val="36"/>
          <w:szCs w:val="36"/>
        </w:rPr>
        <w:t>公示内容</w:t>
      </w:r>
    </w:p>
    <w:p>
      <w:pPr>
        <w:rPr>
          <w:sz w:val="30"/>
          <w:szCs w:val="30"/>
        </w:rPr>
      </w:pPr>
      <w:r>
        <w:rPr>
          <w:rFonts w:hint="eastAsia"/>
          <w:sz w:val="30"/>
          <w:szCs w:val="30"/>
        </w:rPr>
        <w:t>一、成果名称：特色农产品供应链可信追溯关键技术及应用</w:t>
      </w:r>
    </w:p>
    <w:p>
      <w:pPr>
        <w:rPr>
          <w:sz w:val="30"/>
          <w:szCs w:val="30"/>
        </w:rPr>
      </w:pPr>
      <w:r>
        <w:rPr>
          <w:rFonts w:hint="eastAsia"/>
          <w:sz w:val="30"/>
          <w:szCs w:val="30"/>
        </w:rPr>
        <w:t>二、奖励类型：</w:t>
      </w:r>
      <w:r>
        <w:rPr>
          <w:sz w:val="30"/>
          <w:szCs w:val="30"/>
        </w:rPr>
        <w:t>科学研究类</w:t>
      </w:r>
      <w:r>
        <w:rPr>
          <w:rFonts w:hint="eastAsia"/>
          <w:sz w:val="30"/>
          <w:szCs w:val="30"/>
        </w:rPr>
        <w:t>成果</w:t>
      </w:r>
    </w:p>
    <w:p>
      <w:pPr>
        <w:rPr>
          <w:sz w:val="30"/>
          <w:szCs w:val="30"/>
        </w:rPr>
      </w:pPr>
      <w:r>
        <w:rPr>
          <w:rFonts w:hint="eastAsia"/>
          <w:sz w:val="30"/>
          <w:szCs w:val="30"/>
        </w:rPr>
        <w:t>三、申报奖项等级：</w:t>
      </w:r>
      <w:r>
        <w:rPr>
          <w:sz w:val="30"/>
          <w:szCs w:val="30"/>
        </w:rPr>
        <w:t>一等奖</w:t>
      </w:r>
    </w:p>
    <w:p>
      <w:pPr>
        <w:rPr>
          <w:sz w:val="30"/>
          <w:szCs w:val="30"/>
        </w:rPr>
      </w:pPr>
      <w:r>
        <w:rPr>
          <w:rFonts w:hint="eastAsia"/>
          <w:sz w:val="30"/>
          <w:szCs w:val="30"/>
        </w:rPr>
        <w:t>三、主要完成人：李绍稳、周林立、饶元、吴国栋、宋良图、刘莉、吴雨婷、涂立静、陈啟哲、金秀、张筱丹、傅雷扬、方文红、田娟、</w:t>
      </w:r>
      <w:r>
        <w:rPr>
          <w:sz w:val="30"/>
          <w:szCs w:val="30"/>
        </w:rPr>
        <w:t>陈卫武</w:t>
      </w:r>
      <w:r>
        <w:rPr>
          <w:rFonts w:hint="eastAsia"/>
          <w:sz w:val="30"/>
          <w:szCs w:val="30"/>
        </w:rPr>
        <w:t>、</w:t>
      </w:r>
      <w:r>
        <w:rPr>
          <w:sz w:val="30"/>
          <w:szCs w:val="30"/>
        </w:rPr>
        <w:t>郑中明</w:t>
      </w:r>
      <w:r>
        <w:rPr>
          <w:rFonts w:hint="eastAsia"/>
          <w:sz w:val="30"/>
          <w:szCs w:val="30"/>
        </w:rPr>
        <w:t>、</w:t>
      </w:r>
      <w:r>
        <w:rPr>
          <w:sz w:val="30"/>
          <w:szCs w:val="30"/>
        </w:rPr>
        <w:t>张金龙</w:t>
      </w:r>
      <w:r>
        <w:rPr>
          <w:rFonts w:hint="eastAsia"/>
          <w:sz w:val="30"/>
          <w:szCs w:val="30"/>
        </w:rPr>
        <w:t>、苏振泉</w:t>
      </w:r>
    </w:p>
    <w:p>
      <w:pPr>
        <w:rPr>
          <w:sz w:val="30"/>
          <w:szCs w:val="30"/>
        </w:rPr>
      </w:pPr>
      <w:r>
        <w:rPr>
          <w:rFonts w:hint="eastAsia"/>
          <w:sz w:val="30"/>
          <w:szCs w:val="30"/>
        </w:rPr>
        <w:t>四、主要完成单位：安徽农业大学、中国科学院合肥物质科学研究院、安徽省农业信息中心、</w:t>
      </w:r>
      <w:r>
        <w:rPr>
          <w:sz w:val="30"/>
          <w:szCs w:val="30"/>
        </w:rPr>
        <w:t>砀山县农业农村局梨产业中心</w:t>
      </w:r>
      <w:r>
        <w:rPr>
          <w:rFonts w:hint="eastAsia"/>
          <w:sz w:val="30"/>
          <w:szCs w:val="30"/>
        </w:rPr>
        <w:t>、</w:t>
      </w:r>
      <w:r>
        <w:rPr>
          <w:sz w:val="30"/>
          <w:szCs w:val="30"/>
        </w:rPr>
        <w:t>和县蔬菜技术指导服务站</w:t>
      </w:r>
      <w:r>
        <w:rPr>
          <w:rFonts w:hint="eastAsia"/>
          <w:sz w:val="30"/>
          <w:szCs w:val="30"/>
        </w:rPr>
        <w:t>、</w:t>
      </w:r>
      <w:r>
        <w:rPr>
          <w:sz w:val="30"/>
          <w:szCs w:val="30"/>
        </w:rPr>
        <w:t>安徽石台县西黄山茶叶实业有限公司</w:t>
      </w:r>
      <w:r>
        <w:rPr>
          <w:rFonts w:hint="eastAsia"/>
          <w:sz w:val="30"/>
          <w:szCs w:val="30"/>
        </w:rPr>
        <w:t>、</w:t>
      </w:r>
      <w:r>
        <w:rPr>
          <w:sz w:val="30"/>
          <w:szCs w:val="30"/>
        </w:rPr>
        <w:t>黄山六百里猴魁茶业股份有限公司</w:t>
      </w:r>
      <w:r>
        <w:rPr>
          <w:rFonts w:hint="eastAsia"/>
          <w:sz w:val="30"/>
          <w:szCs w:val="30"/>
        </w:rPr>
        <w:t>、</w:t>
      </w:r>
      <w:r>
        <w:rPr>
          <w:sz w:val="30"/>
          <w:szCs w:val="30"/>
        </w:rPr>
        <w:t>锦华生物技术有限公司</w:t>
      </w:r>
    </w:p>
    <w:p>
      <w:pPr>
        <w:rPr>
          <w:rFonts w:hint="eastAsia"/>
          <w:sz w:val="30"/>
          <w:szCs w:val="30"/>
        </w:rPr>
      </w:pPr>
      <w:bookmarkStart w:id="1" w:name="_Hlk50802236"/>
      <w:r>
        <w:rPr>
          <w:rFonts w:hint="eastAsia"/>
          <w:sz w:val="30"/>
          <w:szCs w:val="30"/>
        </w:rPr>
        <w:t>五、</w:t>
      </w:r>
      <w:r>
        <w:rPr>
          <w:sz w:val="30"/>
          <w:szCs w:val="30"/>
        </w:rPr>
        <w:t>主要知识产权和标准规范等目录</w:t>
      </w:r>
      <w:bookmarkEnd w:id="1"/>
      <w:r>
        <w:rPr>
          <w:sz w:val="30"/>
          <w:szCs w:val="30"/>
        </w:rPr>
        <w:t>（不超过10项）</w:t>
      </w:r>
    </w:p>
    <w:tbl>
      <w:tblPr>
        <w:tblStyle w:val="5"/>
        <w:tblW w:w="97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1"/>
        <w:gridCol w:w="753"/>
        <w:gridCol w:w="1009"/>
        <w:gridCol w:w="917"/>
        <w:gridCol w:w="1149"/>
        <w:gridCol w:w="1384"/>
        <w:gridCol w:w="1351"/>
        <w:gridCol w:w="7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38" w:type="dxa"/>
            <w:vAlign w:val="center"/>
          </w:tcPr>
          <w:p>
            <w:pPr>
              <w:rPr>
                <w:rFonts w:ascii="仿宋" w:hAnsi="仿宋" w:eastAsia="仿宋"/>
                <w:color w:val="000000"/>
                <w:sz w:val="24"/>
                <w:szCs w:val="24"/>
              </w:rPr>
            </w:pPr>
            <w:r>
              <w:rPr>
                <w:rFonts w:ascii="仿宋" w:hAnsi="仿宋" w:eastAsia="仿宋"/>
                <w:color w:val="000000"/>
                <w:sz w:val="24"/>
                <w:szCs w:val="24"/>
              </w:rPr>
              <w:t>知识产权（标准）类别</w:t>
            </w:r>
          </w:p>
        </w:tc>
        <w:tc>
          <w:tcPr>
            <w:tcW w:w="1701" w:type="dxa"/>
            <w:vAlign w:val="center"/>
          </w:tcPr>
          <w:p>
            <w:pPr>
              <w:rPr>
                <w:rFonts w:ascii="仿宋" w:hAnsi="仿宋" w:eastAsia="仿宋"/>
                <w:color w:val="000000"/>
                <w:sz w:val="24"/>
                <w:szCs w:val="24"/>
              </w:rPr>
            </w:pPr>
            <w:r>
              <w:rPr>
                <w:rFonts w:ascii="仿宋" w:hAnsi="仿宋" w:eastAsia="仿宋"/>
                <w:color w:val="000000"/>
                <w:sz w:val="24"/>
                <w:szCs w:val="24"/>
              </w:rPr>
              <w:t>知识产权（标准）具体名称</w:t>
            </w:r>
          </w:p>
        </w:tc>
        <w:tc>
          <w:tcPr>
            <w:tcW w:w="753" w:type="dxa"/>
            <w:vAlign w:val="center"/>
          </w:tcPr>
          <w:p>
            <w:pPr>
              <w:rPr>
                <w:rFonts w:ascii="仿宋" w:hAnsi="仿宋" w:eastAsia="仿宋"/>
                <w:color w:val="000000"/>
                <w:sz w:val="24"/>
                <w:szCs w:val="24"/>
              </w:rPr>
            </w:pPr>
            <w:r>
              <w:rPr>
                <w:rFonts w:ascii="仿宋" w:hAnsi="仿宋" w:eastAsia="仿宋"/>
                <w:color w:val="000000"/>
                <w:sz w:val="24"/>
                <w:szCs w:val="24"/>
              </w:rPr>
              <w:t>国家</w:t>
            </w:r>
          </w:p>
          <w:p>
            <w:pPr>
              <w:rPr>
                <w:rFonts w:ascii="仿宋" w:hAnsi="仿宋" w:eastAsia="仿宋"/>
                <w:color w:val="000000"/>
                <w:sz w:val="24"/>
                <w:szCs w:val="24"/>
              </w:rPr>
            </w:pPr>
            <w:r>
              <w:rPr>
                <w:rFonts w:ascii="仿宋" w:hAnsi="仿宋" w:eastAsia="仿宋"/>
                <w:color w:val="000000"/>
                <w:sz w:val="24"/>
                <w:szCs w:val="24"/>
              </w:rPr>
              <w:t>（地区）</w:t>
            </w:r>
          </w:p>
        </w:tc>
        <w:tc>
          <w:tcPr>
            <w:tcW w:w="1009" w:type="dxa"/>
            <w:vAlign w:val="center"/>
          </w:tcPr>
          <w:p>
            <w:pPr>
              <w:rPr>
                <w:rFonts w:ascii="仿宋" w:hAnsi="仿宋" w:eastAsia="仿宋"/>
                <w:color w:val="000000"/>
                <w:sz w:val="24"/>
                <w:szCs w:val="24"/>
              </w:rPr>
            </w:pPr>
            <w:r>
              <w:rPr>
                <w:rFonts w:ascii="仿宋" w:hAnsi="仿宋" w:eastAsia="仿宋"/>
                <w:color w:val="000000"/>
                <w:sz w:val="24"/>
                <w:szCs w:val="24"/>
              </w:rPr>
              <w:t>授权号（标准编号）</w:t>
            </w:r>
          </w:p>
        </w:tc>
        <w:tc>
          <w:tcPr>
            <w:tcW w:w="917" w:type="dxa"/>
            <w:vAlign w:val="center"/>
          </w:tcPr>
          <w:p>
            <w:pPr>
              <w:rPr>
                <w:rFonts w:ascii="仿宋" w:hAnsi="仿宋" w:eastAsia="仿宋"/>
                <w:color w:val="000000"/>
                <w:sz w:val="24"/>
                <w:szCs w:val="24"/>
              </w:rPr>
            </w:pPr>
            <w:r>
              <w:rPr>
                <w:rFonts w:ascii="仿宋" w:hAnsi="仿宋" w:eastAsia="仿宋"/>
                <w:color w:val="000000"/>
                <w:sz w:val="24"/>
                <w:szCs w:val="24"/>
              </w:rPr>
              <w:t>授权（标准发布）日期</w:t>
            </w:r>
          </w:p>
        </w:tc>
        <w:tc>
          <w:tcPr>
            <w:tcW w:w="1149" w:type="dxa"/>
            <w:vAlign w:val="center"/>
          </w:tcPr>
          <w:p>
            <w:pPr>
              <w:rPr>
                <w:rFonts w:ascii="仿宋" w:hAnsi="仿宋" w:eastAsia="仿宋"/>
                <w:color w:val="000000"/>
                <w:sz w:val="24"/>
                <w:szCs w:val="24"/>
              </w:rPr>
            </w:pPr>
            <w:r>
              <w:rPr>
                <w:rFonts w:ascii="仿宋" w:hAnsi="仿宋" w:eastAsia="仿宋"/>
                <w:color w:val="000000"/>
                <w:sz w:val="24"/>
                <w:szCs w:val="24"/>
              </w:rPr>
              <w:t>证书编号</w:t>
            </w:r>
          </w:p>
          <w:p>
            <w:pPr>
              <w:rPr>
                <w:rFonts w:ascii="仿宋" w:hAnsi="仿宋" w:eastAsia="仿宋"/>
                <w:color w:val="000000"/>
                <w:sz w:val="24"/>
                <w:szCs w:val="24"/>
              </w:rPr>
            </w:pPr>
            <w:r>
              <w:rPr>
                <w:rFonts w:ascii="仿宋" w:hAnsi="仿宋" w:eastAsia="仿宋"/>
                <w:color w:val="000000"/>
                <w:sz w:val="24"/>
                <w:szCs w:val="24"/>
              </w:rPr>
              <w:t>（标准批准发布部门）</w:t>
            </w:r>
          </w:p>
        </w:tc>
        <w:tc>
          <w:tcPr>
            <w:tcW w:w="1384" w:type="dxa"/>
            <w:vAlign w:val="center"/>
          </w:tcPr>
          <w:p>
            <w:pPr>
              <w:rPr>
                <w:rFonts w:ascii="仿宋" w:hAnsi="仿宋" w:eastAsia="仿宋"/>
                <w:color w:val="000000"/>
                <w:sz w:val="24"/>
                <w:szCs w:val="24"/>
              </w:rPr>
            </w:pPr>
            <w:r>
              <w:rPr>
                <w:rFonts w:ascii="仿宋" w:hAnsi="仿宋" w:eastAsia="仿宋"/>
                <w:color w:val="000000"/>
                <w:sz w:val="24"/>
                <w:szCs w:val="24"/>
              </w:rPr>
              <w:t>权利人（标准起草单位）</w:t>
            </w:r>
          </w:p>
        </w:tc>
        <w:tc>
          <w:tcPr>
            <w:tcW w:w="1351" w:type="dxa"/>
            <w:vAlign w:val="center"/>
          </w:tcPr>
          <w:p>
            <w:pPr>
              <w:rPr>
                <w:rFonts w:ascii="仿宋" w:hAnsi="仿宋" w:eastAsia="仿宋"/>
                <w:color w:val="000000"/>
                <w:sz w:val="24"/>
                <w:szCs w:val="24"/>
              </w:rPr>
            </w:pPr>
            <w:r>
              <w:rPr>
                <w:rFonts w:ascii="仿宋" w:hAnsi="仿宋" w:eastAsia="仿宋"/>
                <w:color w:val="000000"/>
                <w:sz w:val="24"/>
                <w:szCs w:val="24"/>
              </w:rPr>
              <w:t>发明人（标准起草人）</w:t>
            </w:r>
          </w:p>
        </w:tc>
        <w:tc>
          <w:tcPr>
            <w:tcW w:w="779" w:type="dxa"/>
            <w:vAlign w:val="center"/>
          </w:tcPr>
          <w:p>
            <w:pPr>
              <w:rPr>
                <w:rFonts w:ascii="仿宋" w:hAnsi="仿宋" w:eastAsia="仿宋"/>
                <w:color w:val="000000"/>
                <w:sz w:val="24"/>
                <w:szCs w:val="24"/>
              </w:rPr>
            </w:pPr>
            <w:r>
              <w:rPr>
                <w:rFonts w:ascii="仿宋" w:hAnsi="仿宋" w:eastAsia="仿宋"/>
                <w:color w:val="000000"/>
                <w:sz w:val="24"/>
                <w:szCs w:val="24"/>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基于去中心化与中心化协作的茶叶可信追溯系统</w:t>
            </w:r>
          </w:p>
        </w:tc>
        <w:tc>
          <w:tcPr>
            <w:tcW w:w="753"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ZL202010449613.9</w:t>
            </w:r>
          </w:p>
        </w:tc>
        <w:tc>
          <w:tcPr>
            <w:tcW w:w="917"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2021-04-02</w:t>
            </w:r>
          </w:p>
        </w:tc>
        <w:tc>
          <w:tcPr>
            <w:tcW w:w="114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4336031</w:t>
            </w:r>
          </w:p>
        </w:tc>
        <w:tc>
          <w:tcPr>
            <w:tcW w:w="1384"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李绍稳;吴雨婷;周家栋;叶勇</w:t>
            </w:r>
          </w:p>
        </w:tc>
        <w:tc>
          <w:tcPr>
            <w:tcW w:w="77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一种基于压缩感知和模型驱动的数据收集方法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ZL201910256665.1</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2019-04-01</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4807403</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饶元;赵刚;张敬尧;李绍稳;姜敏;王文;江朝辉;朱军</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一种化肥质量追溯系统及其追溯方法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ZL201510077958.5</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2017-09-22</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2632916</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中国科学院合肥物质科学研究院</w:t>
            </w:r>
          </w:p>
        </w:tc>
        <w:tc>
          <w:tcPr>
            <w:tcW w:w="1351" w:type="dxa"/>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周林立;王儒敬;宋良图;谢成军;张洁;李锐;黄河;王敏</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一种用于化肥质量追溯系统的二维码跟踪识别方法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ZL2015100081036.1</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2017-08-11</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2583916</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中国科学院合肥物质科学研究院</w:t>
            </w:r>
          </w:p>
        </w:tc>
        <w:tc>
          <w:tcPr>
            <w:tcW w:w="1351" w:type="dxa"/>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王儒敬;宋良图;周林立;谢成军;黄河</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基于LoRaWAN与IPv6协议的无线传感网络通信方法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ZL202010254074.3</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2021-03-23</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4316812</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饶元;杨寿立;张武;姚越;王露露</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一种茶学领域虚拟本体建模方法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 201611087353.5</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2019/12/03</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3618165</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李绍稳;刘超;耿凡凡;张筱丹;徐济成;许高建;李景霞;杨阳;沈杰</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bookmarkStart w:id="2" w:name="_GoBack" w:colFirst="3" w:colLast="3"/>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一种用于包装袋二维码自动识别传输带的控制方法</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ZL201510081036.1</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2017-08-11</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2343658</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中国科学院合肥物质科学研究院</w:t>
            </w:r>
          </w:p>
        </w:tc>
        <w:tc>
          <w:tcPr>
            <w:tcW w:w="1351" w:type="dxa"/>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王儒敬;宋良图;周林立;谢成军;黄河</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一种基于动态宽度图神经网络的群体传感器异常数据检测方法和系统</w:t>
            </w:r>
          </w:p>
        </w:tc>
        <w:tc>
          <w:tcPr>
            <w:tcW w:w="753"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中国</w:t>
            </w:r>
          </w:p>
        </w:tc>
        <w:tc>
          <w:tcPr>
            <w:tcW w:w="100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ZL202111264946.5</w:t>
            </w:r>
          </w:p>
        </w:tc>
        <w:tc>
          <w:tcPr>
            <w:tcW w:w="917"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2022-10-04</w:t>
            </w:r>
          </w:p>
        </w:tc>
        <w:tc>
          <w:tcPr>
            <w:tcW w:w="114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5500836</w:t>
            </w:r>
          </w:p>
        </w:tc>
        <w:tc>
          <w:tcPr>
            <w:tcW w:w="1384"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饶元; 彭旭; 张武; 金秀; 江朝晖; 李绍稳; 朱军</w:t>
            </w:r>
          </w:p>
        </w:tc>
        <w:tc>
          <w:tcPr>
            <w:tcW w:w="779" w:type="dxa"/>
            <w:vAlign w:val="center"/>
          </w:tcPr>
          <w:p>
            <w:pPr>
              <w:pStyle w:val="2"/>
              <w:adjustRightInd w:val="0"/>
              <w:spacing w:line="32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10"/>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一种基于受限玻尔兹曼机的文本业务推荐方法</w:t>
            </w:r>
          </w:p>
        </w:tc>
        <w:tc>
          <w:tcPr>
            <w:tcW w:w="753" w:type="dxa"/>
            <w:vAlign w:val="center"/>
          </w:tcPr>
          <w:p>
            <w:pPr>
              <w:spacing w:line="39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中国</w:t>
            </w:r>
          </w:p>
        </w:tc>
        <w:tc>
          <w:tcPr>
            <w:tcW w:w="100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ZL201710040092.X</w:t>
            </w:r>
          </w:p>
        </w:tc>
        <w:tc>
          <w:tcPr>
            <w:tcW w:w="917"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2019-06-07</w:t>
            </w:r>
          </w:p>
        </w:tc>
        <w:tc>
          <w:tcPr>
            <w:tcW w:w="114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3403893</w:t>
            </w:r>
          </w:p>
        </w:tc>
        <w:tc>
          <w:tcPr>
            <w:tcW w:w="1384"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吴国栋;史明哲</w:t>
            </w:r>
          </w:p>
        </w:tc>
        <w:tc>
          <w:tcPr>
            <w:tcW w:w="779" w:type="dxa"/>
            <w:vAlign w:val="center"/>
          </w:tcPr>
          <w:p>
            <w:pPr>
              <w:spacing w:line="39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738"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发明专利</w:t>
            </w:r>
          </w:p>
        </w:tc>
        <w:tc>
          <w:tcPr>
            <w:tcW w:w="1701" w:type="dxa"/>
            <w:vAlign w:val="center"/>
          </w:tcPr>
          <w:p>
            <w:pPr>
              <w:pStyle w:val="10"/>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一种基于文本UGC的混合神经网络跨领域推荐方法</w:t>
            </w:r>
          </w:p>
        </w:tc>
        <w:tc>
          <w:tcPr>
            <w:tcW w:w="753" w:type="dxa"/>
            <w:vAlign w:val="center"/>
          </w:tcPr>
          <w:p>
            <w:pPr>
              <w:spacing w:line="39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中国</w:t>
            </w:r>
          </w:p>
        </w:tc>
        <w:tc>
          <w:tcPr>
            <w:tcW w:w="100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ZL2019108022620.X</w:t>
            </w:r>
          </w:p>
        </w:tc>
        <w:tc>
          <w:tcPr>
            <w:tcW w:w="917"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2022-09-06</w:t>
            </w:r>
          </w:p>
        </w:tc>
        <w:tc>
          <w:tcPr>
            <w:tcW w:w="1149"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5437096</w:t>
            </w:r>
          </w:p>
        </w:tc>
        <w:tc>
          <w:tcPr>
            <w:tcW w:w="1384" w:type="dxa"/>
            <w:vAlign w:val="center"/>
          </w:tcPr>
          <w:p>
            <w:pPr>
              <w:pStyle w:val="2"/>
              <w:spacing w:line="390" w:lineRule="exact"/>
              <w:ind w:firstLine="0" w:firstLineChars="0"/>
              <w:jc w:val="center"/>
              <w:rPr>
                <w:rFonts w:ascii="仿宋" w:hAnsi="仿宋" w:eastAsia="仿宋"/>
                <w:bCs/>
                <w:color w:val="000000"/>
                <w:szCs w:val="24"/>
              </w:rPr>
            </w:pPr>
            <w:r>
              <w:rPr>
                <w:rFonts w:hint="eastAsia" w:ascii="仿宋" w:hAnsi="仿宋" w:eastAsia="仿宋"/>
                <w:bCs/>
                <w:color w:val="000000"/>
                <w:szCs w:val="24"/>
              </w:rPr>
              <w:t>安徽农业大学</w:t>
            </w:r>
          </w:p>
        </w:tc>
        <w:tc>
          <w:tcPr>
            <w:tcW w:w="1351" w:type="dxa"/>
          </w:tcPr>
          <w:p>
            <w:pPr>
              <w:pStyle w:val="2"/>
              <w:spacing w:line="390" w:lineRule="exact"/>
              <w:ind w:firstLine="0" w:firstLineChars="0"/>
              <w:jc w:val="center"/>
              <w:rPr>
                <w:rFonts w:ascii="仿宋" w:hAnsi="仿宋" w:eastAsia="仿宋"/>
                <w:bCs/>
                <w:color w:val="000000"/>
                <w:szCs w:val="24"/>
              </w:rPr>
            </w:pPr>
            <w:r>
              <w:rPr>
                <w:rFonts w:ascii="仿宋" w:hAnsi="仿宋" w:eastAsia="仿宋"/>
                <w:color w:val="000000"/>
                <w:szCs w:val="24"/>
              </w:rPr>
              <w:t>吴国栋;陶鸿;查志康;王静雅;陈海涵;涂立静</w:t>
            </w:r>
          </w:p>
        </w:tc>
        <w:tc>
          <w:tcPr>
            <w:tcW w:w="779" w:type="dxa"/>
            <w:vAlign w:val="center"/>
          </w:tcPr>
          <w:p>
            <w:pPr>
              <w:spacing w:line="39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有效</w:t>
            </w:r>
          </w:p>
        </w:tc>
      </w:tr>
    </w:tbl>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TMzOTNkNmFmNGRmNzA0OGI0YjdhZjk2NzA0OTUifQ=="/>
  </w:docVars>
  <w:rsids>
    <w:rsidRoot w:val="00954065"/>
    <w:rsid w:val="00074C6D"/>
    <w:rsid w:val="000C0DAB"/>
    <w:rsid w:val="00157246"/>
    <w:rsid w:val="001D2ED3"/>
    <w:rsid w:val="001D411E"/>
    <w:rsid w:val="001E1BE0"/>
    <w:rsid w:val="002C4341"/>
    <w:rsid w:val="002D445F"/>
    <w:rsid w:val="002E412C"/>
    <w:rsid w:val="00310AAF"/>
    <w:rsid w:val="00326C3D"/>
    <w:rsid w:val="0039293B"/>
    <w:rsid w:val="003E1B44"/>
    <w:rsid w:val="003F3980"/>
    <w:rsid w:val="00451DF9"/>
    <w:rsid w:val="00490354"/>
    <w:rsid w:val="004B58E4"/>
    <w:rsid w:val="0054090F"/>
    <w:rsid w:val="005A4C47"/>
    <w:rsid w:val="005B186A"/>
    <w:rsid w:val="0063399D"/>
    <w:rsid w:val="00636DE2"/>
    <w:rsid w:val="006454EA"/>
    <w:rsid w:val="006A4276"/>
    <w:rsid w:val="006D4F2C"/>
    <w:rsid w:val="0076274A"/>
    <w:rsid w:val="007D0EB1"/>
    <w:rsid w:val="0086356D"/>
    <w:rsid w:val="00940432"/>
    <w:rsid w:val="00954065"/>
    <w:rsid w:val="009802AD"/>
    <w:rsid w:val="009F3ECA"/>
    <w:rsid w:val="00AC49E8"/>
    <w:rsid w:val="00B15D93"/>
    <w:rsid w:val="00B935E8"/>
    <w:rsid w:val="00BA6190"/>
    <w:rsid w:val="00BD2D91"/>
    <w:rsid w:val="00C400BB"/>
    <w:rsid w:val="00C7234F"/>
    <w:rsid w:val="00CB172E"/>
    <w:rsid w:val="00CE4926"/>
    <w:rsid w:val="00D635DF"/>
    <w:rsid w:val="00E6170F"/>
    <w:rsid w:val="00E86207"/>
    <w:rsid w:val="1D33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spacing w:line="360" w:lineRule="auto"/>
      <w:ind w:firstLine="480" w:firstLineChars="200"/>
    </w:pPr>
    <w:rPr>
      <w:rFonts w:ascii="仿宋_GB2312" w:hAnsi="Times New Roman" w:eastAsia="宋体" w:cs="Times New Roman"/>
      <w:sz w:val="24"/>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纯文本 Char"/>
    <w:basedOn w:val="6"/>
    <w:link w:val="2"/>
    <w:qFormat/>
    <w:uiPriority w:val="0"/>
    <w:rPr>
      <w:rFonts w:ascii="仿宋_GB2312" w:hAnsi="Times New Roman" w:eastAsia="宋体" w:cs="Times New Roman"/>
      <w:sz w:val="24"/>
      <w:szCs w:val="20"/>
    </w:rPr>
  </w:style>
  <w:style w:type="paragraph" w:styleId="10">
    <w:name w:val="List Paragraph"/>
    <w:basedOn w:val="1"/>
    <w:qFormat/>
    <w:uiPriority w:val="34"/>
    <w:pPr>
      <w:ind w:firstLine="420" w:firstLineChars="200"/>
    </w:pPr>
    <w:rPr>
      <w:rFonts w:ascii="仿宋_GB2312" w:hAnsi="Times New Roman" w:eastAsia="仿宋_GB2312" w:cs="Times New Roman"/>
      <w:spacing w:val="-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981</Words>
  <Characters>1302</Characters>
  <Lines>10</Lines>
  <Paragraphs>2</Paragraphs>
  <TotalTime>75</TotalTime>
  <ScaleCrop>false</ScaleCrop>
  <LinksUpToDate>false</LinksUpToDate>
  <CharactersWithSpaces>1309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2022-12-16T11:39:00Z</dcterms:created>
  <dc:creator>acer</dc:creator>
  <cp:lastModifiedBy>周林立</cp:lastModifiedBy>
  <dcterms:modified xsi:type="dcterms:W3CDTF">2022-12-30T06:30:09Z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4A24F86149D84A60A038723E7B74424B</vt:lpwstr>
  </property>
</Properties>
</file>