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424"/>
          <w:tab w:val="left" w:pos="5537"/>
          <w:tab w:val="left" w:pos="7663"/>
        </w:tabs>
        <w:autoSpaceDE w:val="0"/>
        <w:autoSpaceDN w:val="0"/>
        <w:adjustRightInd w:val="0"/>
        <w:snapToGrid w:val="0"/>
        <w:spacing w:line="560" w:lineRule="exact"/>
        <w:ind w:left="0" w:leftChars="0" w:firstLine="0" w:firstLineChars="0"/>
        <w:jc w:val="both"/>
        <w:rPr>
          <w:rFonts w:hint="default" w:ascii="Times New Roman" w:hAnsi="Times New Roman" w:eastAsia="方正黑体_GBK" w:cs="Times New Roman"/>
          <w:color w:val="auto"/>
          <w:sz w:val="36"/>
          <w:szCs w:val="36"/>
          <w:highlight w:val="none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黑体_GBK" w:cs="Times New Roman"/>
          <w:color w:val="auto"/>
          <w:sz w:val="36"/>
          <w:szCs w:val="36"/>
          <w:highlight w:val="none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center"/>
        <w:textAlignment w:val="auto"/>
        <w:outlineLvl w:val="0"/>
        <w:rPr>
          <w:rFonts w:hint="eastAsia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2023年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安徽省重点研究与开发计划农业科技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领域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项目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申报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/>
        </w:rPr>
        <w:t>一、生物育种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outlineLvl w:val="1"/>
        <w:rPr>
          <w:rFonts w:hint="default" w:ascii="Times New Roman" w:hAnsi="Times New Roman" w:eastAsia="楷体" w:cs="Times New Roman"/>
          <w:b/>
          <w:bCs/>
          <w:color w:val="auto"/>
          <w:sz w:val="32"/>
          <w:szCs w:val="32"/>
          <w:highlight w:val="none"/>
          <w:lang w:val="en-US"/>
        </w:rPr>
      </w:pPr>
      <w:r>
        <w:rPr>
          <w:rFonts w:hint="default" w:ascii="Times New Roman" w:hAnsi="Times New Roman" w:eastAsia="楷体" w:cs="Times New Roman"/>
          <w:b/>
          <w:bCs/>
          <w:color w:val="auto"/>
          <w:sz w:val="32"/>
          <w:szCs w:val="32"/>
          <w:highlight w:val="none"/>
          <w:lang w:val="en-US"/>
        </w:rPr>
        <w:t>（一）水稻新品种选育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/>
        </w:rPr>
        <w:t>围绕两系杂交水稻育种，开展杂合雄性不育的杂交水稻育种技术研究，聚合优质高抗基因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，选育优质、高产、多抗杂交稻新品种，并进行规模化示范应用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/>
        </w:rPr>
        <w:t>；针对江淮区域高温热害严重威胁水稻生长问题，选育高产、优质、耐高温水稻新品种，并进行规模化示范应用；针对杂交水稻制种和生产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机械化程度低等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/>
        </w:rPr>
        <w:t>问题，定位克隆与水稻机械化轻减化特性主要基因，培育优异水稻新组合，并进行规模化示范应用；针对机收再生稻抗碾压品种缺乏、周年产能不高等问题，创制高再生力优质水稻品种，研发适宜再生稻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配套装备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/>
        </w:rPr>
        <w:t>；围绕创制抗除草剂水稻种质资源，解析作物抗除草剂新基因作用机制，选育适于配套生态安全型除草剂的高产稳产水稻品种。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outlineLvl w:val="1"/>
        <w:rPr>
          <w:rFonts w:hint="default" w:ascii="Times New Roman" w:hAnsi="Times New Roman" w:eastAsia="楷体" w:cs="Times New Roman"/>
          <w:b/>
          <w:bCs/>
          <w:color w:val="auto"/>
          <w:sz w:val="32"/>
          <w:szCs w:val="32"/>
          <w:highlight w:val="none"/>
          <w:lang w:val="en-US"/>
        </w:rPr>
      </w:pPr>
      <w:r>
        <w:rPr>
          <w:rFonts w:hint="default" w:ascii="Times New Roman" w:hAnsi="Times New Roman" w:eastAsia="楷体" w:cs="Times New Roman"/>
          <w:b/>
          <w:bCs/>
          <w:color w:val="auto"/>
          <w:sz w:val="32"/>
          <w:szCs w:val="32"/>
          <w:highlight w:val="none"/>
          <w:lang w:val="en-US"/>
        </w:rPr>
        <w:t>（二）</w:t>
      </w:r>
      <w:r>
        <w:rPr>
          <w:rFonts w:hint="default" w:ascii="Times New Roman" w:hAnsi="Times New Roman" w:eastAsia="楷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小麦、玉米等</w:t>
      </w:r>
      <w:r>
        <w:rPr>
          <w:rFonts w:hint="default" w:ascii="Times New Roman" w:hAnsi="Times New Roman" w:eastAsia="楷体" w:cs="Times New Roman"/>
          <w:b/>
          <w:bCs/>
          <w:color w:val="auto"/>
          <w:sz w:val="32"/>
          <w:szCs w:val="32"/>
          <w:highlight w:val="none"/>
          <w:lang w:val="en-US"/>
        </w:rPr>
        <w:t>新品种</w:t>
      </w:r>
      <w:r>
        <w:rPr>
          <w:rFonts w:hint="default" w:ascii="Times New Roman" w:hAnsi="Times New Roman" w:eastAsia="楷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选育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/>
        </w:rPr>
        <w:t>开展小麦等作物加速迭代遗传机制及关键基因研究，建立主要作物植物工厂环境下加速技术体系，缩短育种周期；选育优质多抗突破性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粮食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/>
        </w:rPr>
        <w:t>新品种，优选和研制相关配套装备，研发稻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-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/>
        </w:rPr>
        <w:t>麦（油）轮作区绿色肥料专用产品以及靶向绿色农药新制剂；开展高通量抗小麦赤霉病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基因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/>
        </w:rPr>
        <w:t>突变创制及抗性鉴定，培育优质、高产、绿色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/>
        </w:rPr>
        <w:t>抗赤霉病小麦新品种；开发玉米高效遗传转化和多基因编辑双元载体及转化技术，育成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优质、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/>
        </w:rPr>
        <w:t>多抗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/>
        </w:rPr>
        <w:t>高产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/>
        </w:rPr>
        <w:t>突破性玉米品种。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outlineLvl w:val="1"/>
        <w:rPr>
          <w:rFonts w:hint="default" w:ascii="Times New Roman" w:hAnsi="Times New Roman" w:eastAsia="楷体" w:cs="Times New Roman"/>
          <w:b/>
          <w:bCs/>
          <w:color w:val="auto"/>
          <w:sz w:val="32"/>
          <w:szCs w:val="32"/>
          <w:highlight w:val="none"/>
          <w:lang w:val="en-US"/>
        </w:rPr>
      </w:pPr>
      <w:r>
        <w:rPr>
          <w:rFonts w:hint="default" w:ascii="Times New Roman" w:hAnsi="Times New Roman" w:eastAsia="楷体" w:cs="Times New Roman"/>
          <w:b/>
          <w:bCs/>
          <w:color w:val="auto"/>
          <w:sz w:val="32"/>
          <w:szCs w:val="32"/>
          <w:highlight w:val="none"/>
          <w:lang w:val="en-US"/>
        </w:rPr>
        <w:t>（</w:t>
      </w:r>
      <w:r>
        <w:rPr>
          <w:rFonts w:hint="default" w:ascii="Times New Roman" w:hAnsi="Times New Roman" w:eastAsia="楷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default" w:ascii="Times New Roman" w:hAnsi="Times New Roman" w:eastAsia="楷体" w:cs="Times New Roman"/>
          <w:b/>
          <w:bCs/>
          <w:color w:val="auto"/>
          <w:sz w:val="32"/>
          <w:szCs w:val="32"/>
          <w:highlight w:val="none"/>
          <w:lang w:val="en-US"/>
        </w:rPr>
        <w:t>）油料新品种选育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/>
        </w:rPr>
        <w:t>围绕油料作物抗除草剂、耐高温、耐密植、高油酸、高蛋白、低嘌呤、低芥酸、低硫甙等性状和多用途多功能利用需求，开展种质资源创制、高效智能化杂交育种技术研发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/>
        </w:rPr>
        <w:t>选育适合机械化收获、高产、优质、抗逆的突破性新品种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/>
        </w:rPr>
        <w:t>选育“油蔬两用”油菜新品种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/>
        </w:rPr>
        <w:t>研发加工品产量、品质协同提升的一种两收栽培技术体系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/>
        </w:rPr>
        <w:t>加工质量控制关键技术体系，大幅度提高综合效益。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楷体" w:cs="Times New Roman"/>
          <w:b/>
          <w:bCs/>
          <w:color w:val="auto"/>
          <w:sz w:val="32"/>
          <w:szCs w:val="32"/>
          <w:highlight w:val="none"/>
          <w:lang w:val="en-US"/>
        </w:rPr>
      </w:pPr>
      <w:r>
        <w:rPr>
          <w:rFonts w:hint="default" w:ascii="Times New Roman" w:hAnsi="Times New Roman" w:eastAsia="楷体" w:cs="Times New Roman"/>
          <w:b/>
          <w:bCs/>
          <w:color w:val="auto"/>
          <w:sz w:val="32"/>
          <w:szCs w:val="32"/>
          <w:highlight w:val="none"/>
          <w:lang w:val="en-US"/>
        </w:rPr>
        <w:t>（</w:t>
      </w:r>
      <w:r>
        <w:rPr>
          <w:rFonts w:hint="default" w:ascii="Times New Roman" w:hAnsi="Times New Roman" w:eastAsia="楷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四</w:t>
      </w:r>
      <w:r>
        <w:rPr>
          <w:rFonts w:hint="default" w:ascii="Times New Roman" w:hAnsi="Times New Roman" w:eastAsia="楷体" w:cs="Times New Roman"/>
          <w:b/>
          <w:bCs/>
          <w:color w:val="auto"/>
          <w:sz w:val="32"/>
          <w:szCs w:val="32"/>
          <w:highlight w:val="none"/>
          <w:lang w:val="en-US"/>
        </w:rPr>
        <w:t>）优质果蔬新品种选育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/>
        </w:rPr>
        <w:t>围绕优质果蔬遗传基础狭窄的种源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/>
        </w:rPr>
        <w:t>卡脖子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/>
        </w:rPr>
        <w:t>问题，开展重要性状调控基因研究。构建桃体细胞变异分子鉴定体系，创制极早熟或极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/>
        </w:rPr>
        <w:t>熟桃优质性状的突破性种质资源群，育成优质新品种；挖掘猕猴桃溃疡病抗性基因，创制优质抗溃疡病新种质，育成优质新品种，并集成配套栽培技术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/>
        </w:rPr>
        <w:t>开展辣椒种质资源突破性材料创制，选育抗枯萎病、特殊风味、具备早春或秋延后显著性状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/>
        </w:rPr>
        <w:t>适合机械化采收的辣椒新品种，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集成构建辣椒种子纯度、品质高通量快速检测体系，完善辣椒商业化育种模式。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outlineLvl w:val="1"/>
        <w:rPr>
          <w:rFonts w:hint="default" w:ascii="Times New Roman" w:hAnsi="Times New Roman" w:eastAsia="楷体" w:cs="Times New Roman"/>
          <w:b/>
          <w:bCs/>
          <w:color w:val="auto"/>
          <w:sz w:val="32"/>
          <w:szCs w:val="32"/>
          <w:highlight w:val="none"/>
          <w:lang w:val="en-US"/>
        </w:rPr>
      </w:pPr>
      <w:r>
        <w:rPr>
          <w:rFonts w:hint="default" w:ascii="Times New Roman" w:hAnsi="Times New Roman" w:eastAsia="楷体" w:cs="Times New Roman"/>
          <w:b/>
          <w:bCs/>
          <w:color w:val="auto"/>
          <w:sz w:val="32"/>
          <w:szCs w:val="32"/>
          <w:highlight w:val="none"/>
          <w:lang w:val="en-US"/>
        </w:rPr>
        <w:t>（</w:t>
      </w:r>
      <w:r>
        <w:rPr>
          <w:rFonts w:hint="default" w:ascii="Times New Roman" w:hAnsi="Times New Roman" w:eastAsia="楷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五</w:t>
      </w:r>
      <w:r>
        <w:rPr>
          <w:rFonts w:hint="default" w:ascii="Times New Roman" w:hAnsi="Times New Roman" w:eastAsia="楷体" w:cs="Times New Roman"/>
          <w:b/>
          <w:bCs/>
          <w:color w:val="auto"/>
          <w:sz w:val="32"/>
          <w:szCs w:val="32"/>
          <w:highlight w:val="none"/>
          <w:lang w:val="en-US"/>
        </w:rPr>
        <w:t>）畜禽新品种（品系）</w:t>
      </w:r>
      <w:r>
        <w:rPr>
          <w:rFonts w:hint="default" w:ascii="Times New Roman" w:hAnsi="Times New Roman" w:eastAsia="楷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选育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/>
        </w:rPr>
        <w:t>针对安徽地方特色畜禽品种，开展地方猪遗传材料保存技术研发和基因库建设，挖掘种质关键基因，选育地方猪新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品种或新品系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/>
        </w:rPr>
        <w:t>；研究调控地方土鸡特色性状关键基因，创制优质肉鸡配套用专门化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品系，培育优质肉鸡新品种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/>
        </w:rPr>
        <w:t>；研究地方肉牛品种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/>
        </w:rPr>
        <w:t>品质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/>
        </w:rPr>
        <w:t>风味遗传参数，构建适用于地方优质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遗传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/>
        </w:rPr>
        <w:t>资源综合技术体系，实现地方牛高效精准育种，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集成示范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/>
        </w:rPr>
        <w:t>高效养殖技术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，大幅度提高综合效益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outlineLvl w:val="1"/>
        <w:rPr>
          <w:rFonts w:hint="default" w:ascii="Times New Roman" w:hAnsi="Times New Roman" w:eastAsia="楷体" w:cs="Times New Roman"/>
          <w:b/>
          <w:bCs/>
          <w:color w:val="auto"/>
          <w:sz w:val="32"/>
          <w:szCs w:val="32"/>
          <w:highlight w:val="none"/>
          <w:lang w:val="en-US"/>
        </w:rPr>
      </w:pPr>
      <w:r>
        <w:rPr>
          <w:rFonts w:hint="default" w:ascii="Times New Roman" w:hAnsi="Times New Roman" w:eastAsia="楷体" w:cs="Times New Roman"/>
          <w:b/>
          <w:bCs/>
          <w:color w:val="auto"/>
          <w:sz w:val="32"/>
          <w:szCs w:val="32"/>
          <w:highlight w:val="none"/>
          <w:lang w:val="en-US"/>
        </w:rPr>
        <w:t>（</w:t>
      </w:r>
      <w:r>
        <w:rPr>
          <w:rFonts w:hint="default" w:ascii="Times New Roman" w:hAnsi="Times New Roman" w:eastAsia="楷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六</w:t>
      </w:r>
      <w:r>
        <w:rPr>
          <w:rFonts w:hint="default" w:ascii="Times New Roman" w:hAnsi="Times New Roman" w:eastAsia="楷体" w:cs="Times New Roman"/>
          <w:b/>
          <w:bCs/>
          <w:color w:val="auto"/>
          <w:sz w:val="32"/>
          <w:szCs w:val="32"/>
          <w:highlight w:val="none"/>
          <w:lang w:val="en-US"/>
        </w:rPr>
        <w:t>）水产新品种选育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/>
        </w:rPr>
        <w:t>围绕水产品种选育中的新技术、新种质，挖掘性腺发育功能调控基因，研究调控基因在发育过程中的作用及机制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/>
        </w:rPr>
        <w:t>创制系列新种质、新品种，开发配套养殖技术体系，实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现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/>
        </w:rPr>
        <w:t>规模化应用。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960" w:firstLineChars="300"/>
        <w:textAlignment w:val="auto"/>
        <w:outlineLvl w:val="0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/>
        </w:rPr>
        <w:t>二、智慧农业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640" w:leftChars="0" w:right="0" w:rightChars="0" w:firstLine="0" w:firstLineChars="0"/>
        <w:jc w:val="both"/>
        <w:textAlignment w:val="auto"/>
        <w:outlineLvl w:val="0"/>
        <w:rPr>
          <w:rFonts w:hint="default" w:ascii="Times New Roman" w:hAnsi="Times New Roman" w:eastAsia="方正楷体_GBK" w:cs="Times New Roman"/>
          <w:b/>
          <w:bCs/>
          <w:color w:val="auto"/>
          <w:kern w:val="2"/>
          <w:sz w:val="32"/>
          <w:szCs w:val="32"/>
          <w:highlight w:val="none"/>
        </w:rPr>
      </w:pPr>
      <w:r>
        <w:rPr>
          <w:rFonts w:hint="default" w:ascii="Times New Roman" w:hAnsi="Times New Roman" w:eastAsia="方正楷体_GBK" w:cs="Times New Roman"/>
          <w:b/>
          <w:bCs/>
          <w:color w:val="auto"/>
          <w:kern w:val="2"/>
          <w:sz w:val="32"/>
          <w:szCs w:val="32"/>
          <w:highlight w:val="none"/>
          <w:lang w:val="en-US" w:eastAsia="zh-CN"/>
        </w:rPr>
        <w:t>（一）粮油作物智能农机装备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0"/>
        <w:jc w:val="both"/>
        <w:textAlignment w:val="auto"/>
        <w:outlineLvl w:val="0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围绕我省主要粮油作物播种、植保、收获、贮藏等关键环节，重点开展智能化播种、混合动力收获、高效智能施药以及智能烘干等关键技术和装备研发。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640" w:leftChars="0" w:right="0" w:rightChars="0" w:firstLine="0" w:firstLineChars="0"/>
        <w:jc w:val="both"/>
        <w:textAlignment w:val="auto"/>
        <w:outlineLvl w:val="0"/>
        <w:rPr>
          <w:rFonts w:hint="default" w:ascii="Times New Roman" w:hAnsi="Times New Roman" w:eastAsia="楷体" w:cs="Times New Roman"/>
          <w:b/>
          <w:bCs/>
          <w:color w:val="auto"/>
          <w:kern w:val="2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color w:val="auto"/>
          <w:kern w:val="2"/>
          <w:sz w:val="32"/>
          <w:szCs w:val="32"/>
          <w:highlight w:val="none"/>
          <w:lang w:val="en-US" w:eastAsia="zh-CN"/>
        </w:rPr>
        <w:t>（二）农机薄弱环节补短板装备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0"/>
        <w:jc w:val="both"/>
        <w:textAlignment w:val="auto"/>
        <w:outlineLvl w:val="0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/>
        </w:rPr>
        <w:t>围绕丘陵山区经济作物耕整地、农产品初加工等农机装备薄弱环节，重点开展高性能微耕机、农产品智能分选装备和包装装备研发。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640" w:leftChars="0" w:right="0" w:rightChars="0" w:firstLine="0" w:firstLineChars="0"/>
        <w:jc w:val="both"/>
        <w:textAlignment w:val="auto"/>
        <w:outlineLvl w:val="0"/>
        <w:rPr>
          <w:rFonts w:hint="default" w:ascii="Times New Roman" w:hAnsi="Times New Roman" w:eastAsia="楷体" w:cs="Times New Roman"/>
          <w:b/>
          <w:bCs/>
          <w:color w:val="auto"/>
          <w:kern w:val="2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color w:val="auto"/>
          <w:kern w:val="2"/>
          <w:sz w:val="32"/>
          <w:szCs w:val="32"/>
          <w:highlight w:val="none"/>
          <w:lang w:val="en-US" w:eastAsia="zh-CN"/>
        </w:rPr>
        <w:t>（三）智慧农业共性技术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0"/>
        <w:jc w:val="both"/>
        <w:textAlignment w:val="auto"/>
        <w:outlineLvl w:val="0"/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/>
        </w:rPr>
        <w:t>围绕农业生产全过程中的信息感知、传感器、身份认证芯片、数智化平台以及智能化集成系统等方向，重点开展作物智慧育种传感器、耕地质量原位监测、动物数智化服务系统、智能化生产等新技术和新装备研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/>
        </w:rPr>
        <w:t>三、耕地质量保护与提升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楷体" w:cs="Times New Roman"/>
          <w:b/>
          <w:bCs w:val="0"/>
          <w:color w:val="auto"/>
          <w:kern w:val="2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 w:val="0"/>
          <w:color w:val="auto"/>
          <w:kern w:val="2"/>
          <w:sz w:val="32"/>
          <w:szCs w:val="32"/>
          <w:highlight w:val="none"/>
          <w:lang w:val="en-US" w:eastAsia="zh-CN"/>
        </w:rPr>
        <w:t>（一）皖北砂姜黑土改良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/>
        </w:rPr>
        <w:t>针对砂姜黑土耕层浅、胀缩性强、障碍因子消减机制不清、与地力提升配套的新型农业机械装备缺乏等科技问题，研发精准高效的砂姜黑土耕地地力提升关键技术产品与装备，创新构建结构障碍消减与产能提升的综合技术模式，并进行示范应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楷体_GBK" w:cs="Times New Roman"/>
          <w:b/>
          <w:bCs/>
          <w:color w:val="auto"/>
          <w:sz w:val="32"/>
          <w:szCs w:val="32"/>
          <w:highlight w:val="none"/>
          <w:lang w:val="en-US" w:eastAsia="zh-CN"/>
        </w:rPr>
        <w:t>（二）江淮低产稻田改良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/>
        </w:rPr>
        <w:t>针对江淮中低产稻田土壤通透性差、养分失衡、冬闲稻田面积大等问题，集成减障提质关键技术，研发培肥改良产品及绿肥新品种，构建减障提质与产能提升的综合技术模式，并进行示范应用。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楷体_GBK" w:cs="Times New Roman"/>
          <w:b/>
          <w:bCs/>
          <w:color w:val="auto"/>
          <w:sz w:val="32"/>
          <w:szCs w:val="32"/>
          <w:highlight w:val="none"/>
          <w:lang w:val="en-US" w:eastAsia="zh-CN"/>
        </w:rPr>
        <w:t>（三）皖南黄红壤改良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sz w:val="32"/>
          <w:szCs w:val="32"/>
          <w:highlight w:val="none"/>
          <w:lang w:val="en-US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sz w:val="32"/>
          <w:szCs w:val="32"/>
          <w:highlight w:val="none"/>
          <w:lang w:val="en-US"/>
        </w:rPr>
        <w:t>针对皖南黄红壤“酸、瘦”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sz w:val="32"/>
          <w:szCs w:val="32"/>
          <w:highlight w:val="none"/>
          <w:lang w:val="en-US"/>
        </w:rPr>
        <w:t>消减技术体系不完善和阻控产品缺乏的问题，创制降酸材料和土壤改良产品，研发酸化阻控配套技术，构建以“降、阻、控、培”为核心的黄红壤耕地产能提升技术模式，并进行示范应用。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/>
        </w:rPr>
      </w:pPr>
      <w:r>
        <w:rPr>
          <w:rFonts w:hint="default" w:ascii="Times New Roman" w:hAnsi="Times New Roman" w:eastAsia="方正楷体_GBK" w:cs="Times New Roman"/>
          <w:b/>
          <w:bCs/>
          <w:color w:val="auto"/>
          <w:sz w:val="32"/>
          <w:szCs w:val="32"/>
          <w:highlight w:val="none"/>
          <w:lang w:val="en-US" w:eastAsia="zh-CN"/>
        </w:rPr>
        <w:t>（四）复垦耕地改良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/>
        </w:rPr>
        <w:t>对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/>
        </w:rPr>
        <w:t>非粮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”“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/>
        </w:rPr>
        <w:t>非农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/>
        </w:rPr>
        <w:t>耕地土壤结构恶化和盐渍化突出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/>
        </w:rPr>
        <w:t>问题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，通过土壤层结构快速重构与熟化、微生物健康生态系统重建等技术，研发配套产品，构建土壤健康恢复技术体系，并进行应用示范。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四、绿色食品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outlineLvl w:val="1"/>
        <w:rPr>
          <w:rFonts w:hint="default" w:ascii="Times New Roman" w:hAnsi="Times New Roman" w:eastAsia="楷体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" w:cs="Times New Roman"/>
          <w:b/>
          <w:bCs/>
          <w:color w:val="auto"/>
          <w:sz w:val="32"/>
          <w:szCs w:val="32"/>
          <w:highlight w:val="none"/>
          <w:lang w:val="en-US"/>
        </w:rPr>
        <w:t>（一）</w:t>
      </w:r>
      <w:r>
        <w:rPr>
          <w:rFonts w:hint="default" w:ascii="Times New Roman" w:hAnsi="Times New Roman" w:eastAsia="楷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食品生物技术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针对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我省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发酵食品微生物种质资源限制、发酵调控技术落后、产业智能化水平低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问题，建设系列发酵食品菌种资源系统，构建“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菌种选育、微生物强化、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工艺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优化、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品质提升”的发酵食品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生物技术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体系，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创制新型发酵食品，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实现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我省食品生物制造提质增效和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产业落地。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outlineLvl w:val="1"/>
        <w:rPr>
          <w:rFonts w:hint="default" w:ascii="Times New Roman" w:hAnsi="Times New Roman" w:eastAsia="楷体" w:cs="Times New Roman"/>
          <w:b/>
          <w:bCs/>
          <w:i w:val="0"/>
          <w:i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" w:cs="Times New Roman"/>
          <w:b/>
          <w:bCs/>
          <w:i w:val="0"/>
          <w:iCs w:val="0"/>
          <w:color w:val="auto"/>
          <w:sz w:val="32"/>
          <w:szCs w:val="32"/>
          <w:highlight w:val="none"/>
          <w:lang w:val="en-US"/>
        </w:rPr>
        <w:t>（</w:t>
      </w:r>
      <w:r>
        <w:rPr>
          <w:rFonts w:hint="default" w:ascii="Times New Roman" w:hAnsi="Times New Roman" w:eastAsia="楷体" w:cs="Times New Roman"/>
          <w:b/>
          <w:bCs/>
          <w:i w:val="0"/>
          <w:iCs w:val="0"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default" w:ascii="Times New Roman" w:hAnsi="Times New Roman" w:eastAsia="楷体" w:cs="Times New Roman"/>
          <w:b/>
          <w:bCs/>
          <w:i w:val="0"/>
          <w:iCs w:val="0"/>
          <w:color w:val="auto"/>
          <w:sz w:val="32"/>
          <w:szCs w:val="32"/>
          <w:highlight w:val="none"/>
          <w:lang w:val="en-US"/>
        </w:rPr>
        <w:t>）</w:t>
      </w:r>
      <w:r>
        <w:rPr>
          <w:rFonts w:hint="default" w:ascii="Times New Roman" w:hAnsi="Times New Roman" w:eastAsia="楷体" w:cs="Times New Roman"/>
          <w:b/>
          <w:bCs/>
          <w:i w:val="0"/>
          <w:iCs w:val="0"/>
          <w:color w:val="auto"/>
          <w:sz w:val="32"/>
          <w:szCs w:val="32"/>
          <w:highlight w:val="none"/>
          <w:lang w:val="en-US" w:eastAsia="zh-CN"/>
        </w:rPr>
        <w:t>粮油加工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针对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我省优质粮油原料和加工产品缺乏的问题，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以江淮低值早籼米、中低筋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小麦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为原料，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研究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产品加工精准营养调控与提质保鲜关键技术，建立主食产品的全产业链标准体系，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创制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现代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化和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智能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加工装备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，开发新型主食产品；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菜籽、芝麻与茶籽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等油料农产品为原料，研究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油料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产地与食用油品质形成关系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研究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绿色精炼关键技术，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建立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高效节能的智能柔性加工技术产业体系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创制江淮特色功能性油脂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高值化产品。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outlineLvl w:val="1"/>
        <w:rPr>
          <w:rFonts w:hint="default" w:ascii="Times New Roman" w:hAnsi="Times New Roman" w:eastAsia="楷体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" w:cs="Times New Roman"/>
          <w:b/>
          <w:bCs/>
          <w:color w:val="auto"/>
          <w:sz w:val="32"/>
          <w:szCs w:val="32"/>
          <w:highlight w:val="none"/>
          <w:lang w:val="en-US"/>
        </w:rPr>
        <w:t>（</w:t>
      </w:r>
      <w:r>
        <w:rPr>
          <w:rFonts w:hint="default" w:ascii="Times New Roman" w:hAnsi="Times New Roman" w:eastAsia="楷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default" w:ascii="Times New Roman" w:hAnsi="Times New Roman" w:eastAsia="楷体" w:cs="Times New Roman"/>
          <w:b/>
          <w:bCs/>
          <w:color w:val="auto"/>
          <w:sz w:val="32"/>
          <w:szCs w:val="32"/>
          <w:highlight w:val="none"/>
          <w:lang w:val="en-US"/>
        </w:rPr>
        <w:t>）</w:t>
      </w:r>
      <w:r>
        <w:rPr>
          <w:rFonts w:hint="default" w:ascii="Times New Roman" w:hAnsi="Times New Roman" w:eastAsia="楷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畜禽水产加工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解析畜禽水产在预制加工过程中物性变化规律和化学组分互作特点，探明化学性和生物性危害物在预制、加工和贮藏过程的消长规律，研发预制加工危害物消减和特征品质调控技术，创制高效冷冻、非热杀菌等绿色低碳和高效加工关键装备，集成预制产品品质保持、安全品质提升技术和装备，开发符合消费者需求的预制菜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outlineLvl w:val="1"/>
        <w:rPr>
          <w:rFonts w:hint="default" w:ascii="Times New Roman" w:hAnsi="Times New Roman" w:eastAsia="楷体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" w:cs="Times New Roman"/>
          <w:b/>
          <w:bCs/>
          <w:color w:val="auto"/>
          <w:sz w:val="32"/>
          <w:szCs w:val="32"/>
          <w:highlight w:val="none"/>
          <w:lang w:val="en-US"/>
        </w:rPr>
        <w:t>（四）</w:t>
      </w:r>
      <w:r>
        <w:rPr>
          <w:rFonts w:hint="default" w:ascii="Times New Roman" w:hAnsi="Times New Roman" w:eastAsia="楷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果蔬林特加工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针对我省果蔬林特农产品加工技术和产品短缺问题，以梨、桃等水果为对象，研究真空冷冻干燥、低温浓缩和高阻隔品质保持技术，开发新型水果加工产品；以食用菌为对象，创建分类加工适应性标准，研究食用菌预制菜原材料预处理技术、预制菜调理、功能活性物质高效提取技术，研制富含菌物多糖、菌物蛋白等高附加值健康新产品；以坚果为对象，研究原料贮存过程中脂类与蛋白质劣变机制，创建坚果原料品质和新鲜度的甄别技术方法，开发高阻湿阻氧包装材料和自动可控化充氮气调技术，创制高价值高品质坚果新产品及配套智能自动控制装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outlineLvl w:val="1"/>
        <w:rPr>
          <w:rFonts w:hint="default" w:ascii="Times New Roman" w:hAnsi="Times New Roman" w:eastAsia="楷体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" w:cs="Times New Roman"/>
          <w:b/>
          <w:bCs/>
          <w:color w:val="auto"/>
          <w:sz w:val="32"/>
          <w:szCs w:val="32"/>
          <w:highlight w:val="none"/>
          <w:lang w:val="en-US"/>
        </w:rPr>
        <w:t>（五）</w:t>
      </w:r>
      <w:r>
        <w:rPr>
          <w:rFonts w:hint="default" w:ascii="Times New Roman" w:hAnsi="Times New Roman" w:eastAsia="楷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农产品资源综合利用</w:t>
      </w:r>
    </w:p>
    <w:p>
      <w:pPr>
        <w:pStyle w:val="6"/>
        <w:rPr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针对目前我省农作物资源利用度不高、高值化加工技术不足的难题，以秸秆为对象，研究秸秆高效木质纤维素复合酶生产及综纤维素酶解糖化技术，突破秸秆揉搓-稀碱联合预处理方法，研发秸秆糖渣生产优质黄腐酸肥料技术，开发秸秆混合糖发酵高光学纯乳酸新工艺，创制秸秆制糖预处理、膜过滤成套装备，大幅度提升秸秆制糖规模。</w:t>
      </w:r>
    </w:p>
    <w:sectPr>
      <w:pgSz w:w="11906" w:h="16838"/>
      <w:pgMar w:top="2098" w:right="1474" w:bottom="1587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BF341D"/>
    <w:rsid w:val="2BFFCBA4"/>
    <w:rsid w:val="2EC8700E"/>
    <w:rsid w:val="367ED5FD"/>
    <w:rsid w:val="3BAF6E35"/>
    <w:rsid w:val="3BF92E27"/>
    <w:rsid w:val="3DFE1CBC"/>
    <w:rsid w:val="42132480"/>
    <w:rsid w:val="4FFB74FE"/>
    <w:rsid w:val="5EB3E0AB"/>
    <w:rsid w:val="5EBAEB1E"/>
    <w:rsid w:val="5FC9B9AF"/>
    <w:rsid w:val="6BBF341D"/>
    <w:rsid w:val="6DFE9392"/>
    <w:rsid w:val="6FBF80B0"/>
    <w:rsid w:val="6FC756BA"/>
    <w:rsid w:val="758E53E2"/>
    <w:rsid w:val="77EE8F6C"/>
    <w:rsid w:val="7DFE21E9"/>
    <w:rsid w:val="7ED64C3D"/>
    <w:rsid w:val="7F3FB785"/>
    <w:rsid w:val="8FDE39FC"/>
    <w:rsid w:val="93BFFCE2"/>
    <w:rsid w:val="9DFF9636"/>
    <w:rsid w:val="9EF89444"/>
    <w:rsid w:val="AFA63C9A"/>
    <w:rsid w:val="B9FB2BB8"/>
    <w:rsid w:val="BABD1877"/>
    <w:rsid w:val="BACF5F3B"/>
    <w:rsid w:val="BDFFA276"/>
    <w:rsid w:val="C5D3FE38"/>
    <w:rsid w:val="C71E9ACB"/>
    <w:rsid w:val="D67FB8D0"/>
    <w:rsid w:val="DC7FCF47"/>
    <w:rsid w:val="ED5AFF7D"/>
    <w:rsid w:val="EFAF19D6"/>
    <w:rsid w:val="EFE7E140"/>
    <w:rsid w:val="EFE9FADC"/>
    <w:rsid w:val="EFF5DFBD"/>
    <w:rsid w:val="EFF9E5D9"/>
    <w:rsid w:val="F1EFFF9F"/>
    <w:rsid w:val="F3FFCAF7"/>
    <w:rsid w:val="F7F3E9DD"/>
    <w:rsid w:val="FF61FD35"/>
    <w:rsid w:val="FFDE74C5"/>
    <w:rsid w:val="FFF7A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center"/>
      <w:outlineLvl w:val="0"/>
    </w:pPr>
    <w:rPr>
      <w:rFonts w:hint="eastAsia" w:ascii="宋体" w:hAnsi="宋体" w:eastAsia="方正小标宋_GBK" w:cs="宋体"/>
      <w:kern w:val="44"/>
      <w:sz w:val="44"/>
      <w:szCs w:val="48"/>
      <w:lang w:bidi="ar"/>
    </w:rPr>
  </w:style>
  <w:style w:type="paragraph" w:styleId="4">
    <w:name w:val="heading 2"/>
    <w:basedOn w:val="1"/>
    <w:next w:val="1"/>
    <w:unhideWhenUsed/>
    <w:qFormat/>
    <w:uiPriority w:val="0"/>
    <w:pPr>
      <w:keepNext w:val="0"/>
      <w:keepLines w:val="0"/>
      <w:spacing w:beforeLines="0" w:beforeAutospacing="0" w:afterLines="0" w:afterAutospacing="0" w:line="590" w:lineRule="exact"/>
      <w:ind w:firstLine="640" w:firstLineChars="200"/>
      <w:outlineLvl w:val="1"/>
    </w:pPr>
    <w:rPr>
      <w:rFonts w:ascii="Times New Roman" w:hAnsi="Times New Roman" w:eastAsia="方正楷体_GBK"/>
    </w:rPr>
  </w:style>
  <w:style w:type="paragraph" w:styleId="5">
    <w:name w:val="heading 3"/>
    <w:basedOn w:val="1"/>
    <w:next w:val="1"/>
    <w:unhideWhenUsed/>
    <w:qFormat/>
    <w:uiPriority w:val="0"/>
    <w:pPr>
      <w:keepNext w:val="0"/>
      <w:keepLines w:val="0"/>
      <w:spacing w:beforeLines="0" w:beforeAutospacing="0" w:afterLines="0" w:afterAutospacing="0" w:line="590" w:lineRule="exact"/>
      <w:ind w:firstLine="640" w:firstLineChars="200"/>
      <w:outlineLvl w:val="2"/>
    </w:pPr>
    <w:rPr>
      <w:rFonts w:eastAsia="方正楷体_GBK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90" w:lineRule="exact"/>
      <w:ind w:firstLine="0" w:firstLineChars="0"/>
      <w:outlineLvl w:val="3"/>
    </w:pPr>
    <w:rPr>
      <w:rFonts w:ascii="Arial" w:hAnsi="Arial" w:eastAsia="方正黑体_GBK"/>
      <w:b/>
      <w:sz w:val="36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oa heading"/>
    <w:next w:val="1"/>
    <w:qFormat/>
    <w:uiPriority w:val="0"/>
    <w:pPr>
      <w:widowControl w:val="0"/>
      <w:spacing w:before="120" w:beforeLines="0" w:beforeAutospacing="0"/>
      <w:jc w:val="both"/>
    </w:pPr>
    <w:rPr>
      <w:rFonts w:ascii="Arial" w:hAnsi="Arial" w:eastAsia="宋体" w:cs="Times New Roman"/>
      <w:kern w:val="2"/>
      <w:sz w:val="24"/>
      <w:szCs w:val="24"/>
      <w:lang w:val="en-US" w:eastAsia="zh-CN" w:bidi="ar-SA"/>
    </w:rPr>
  </w:style>
  <w:style w:type="paragraph" w:styleId="7">
    <w:name w:val="Salutation"/>
    <w:basedOn w:val="1"/>
    <w:next w:val="1"/>
    <w:qFormat/>
    <w:uiPriority w:val="0"/>
  </w:style>
  <w:style w:type="paragraph" w:styleId="8">
    <w:name w:val="Body Text"/>
    <w:basedOn w:val="1"/>
    <w:next w:val="9"/>
    <w:qFormat/>
    <w:uiPriority w:val="0"/>
    <w:pPr>
      <w:spacing w:after="120" w:line="590" w:lineRule="exact"/>
      <w:ind w:firstLine="880" w:firstLineChars="200"/>
    </w:pPr>
    <w:rPr>
      <w:rFonts w:ascii="Times New Roman" w:hAnsi="Times New Roman" w:eastAsia="仿宋_GB2312"/>
    </w:rPr>
  </w:style>
  <w:style w:type="paragraph" w:styleId="9">
    <w:name w:val="Body Text 2"/>
    <w:qFormat/>
    <w:uiPriority w:val="0"/>
    <w:pPr>
      <w:widowControl/>
      <w:spacing w:line="600" w:lineRule="exact"/>
      <w:ind w:firstLine="880" w:firstLineChars="200"/>
      <w:jc w:val="center"/>
    </w:pPr>
    <w:rPr>
      <w:rFonts w:ascii="楷体_GB2312" w:hAnsi="Calibri" w:eastAsia="楷体_GB2312" w:cs="Times New Roman"/>
      <w:kern w:val="2"/>
      <w:sz w:val="20"/>
      <w:szCs w:val="32"/>
      <w:lang w:val="en-US" w:eastAsia="zh-CN" w:bidi="ar-SA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List"/>
    <w:basedOn w:val="8"/>
    <w:next w:val="1"/>
    <w:qFormat/>
    <w:uiPriority w:val="0"/>
    <w:pPr>
      <w:spacing w:line="590" w:lineRule="exact"/>
    </w:pPr>
    <w:rPr>
      <w:rFonts w:ascii="Calibri" w:hAnsi="Calibri" w:eastAsia="方正黑体_GBK" w:cs="Times New Roman"/>
      <w:color w:val="auto"/>
      <w:sz w:val="36"/>
      <w:szCs w:val="24"/>
    </w:rPr>
  </w:style>
  <w:style w:type="paragraph" w:styleId="1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5">
    <w:name w:val="样式2"/>
    <w:basedOn w:val="1"/>
    <w:next w:val="1"/>
    <w:qFormat/>
    <w:uiPriority w:val="0"/>
    <w:rPr>
      <w:rFonts w:asciiTheme="minorAscii" w:hAnsiTheme="minorAscii"/>
      <w:szCs w:val="22"/>
    </w:rPr>
  </w:style>
  <w:style w:type="paragraph" w:customStyle="1" w:styleId="16">
    <w:name w:val="样式3"/>
    <w:basedOn w:val="1"/>
    <w:qFormat/>
    <w:uiPriority w:val="0"/>
    <w:rPr>
      <w:rFonts w:eastAsia="仿宋_GB2312" w:asciiTheme="minorAscii" w:hAnsiTheme="minorAscii"/>
      <w:sz w:val="32"/>
    </w:rPr>
  </w:style>
  <w:style w:type="paragraph" w:customStyle="1" w:styleId="17">
    <w:name w:val="附件"/>
    <w:basedOn w:val="1"/>
    <w:next w:val="1"/>
    <w:qFormat/>
    <w:uiPriority w:val="0"/>
    <w:rPr>
      <w:rFonts w:ascii="Times New Roman" w:hAnsi="Times New Roman" w:eastAsia="方正黑体_GBK"/>
      <w:sz w:val="36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2802</Words>
  <Characters>2806</Characters>
  <Lines>0</Lines>
  <Paragraphs>0</Paragraphs>
  <TotalTime>0</TotalTime>
  <ScaleCrop>false</ScaleCrop>
  <LinksUpToDate>false</LinksUpToDate>
  <CharactersWithSpaces>2806</CharactersWithSpaces>
  <Application>WPS Office_11.1.0.14177_F1E327BC-269C-435d-A152-05C5408002CA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2023-05-01T02:14:00Z</dcterms:created>
  <dc:creator>guest</dc:creator>
  <cp:lastModifiedBy>冯晓燕</cp:lastModifiedBy>
  <cp:lastPrinted>2023-04-30T03:24:00Z</cp:lastPrinted>
  <dcterms:modified xsi:type="dcterms:W3CDTF">2023-05-05T01:06:04Z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2052-11.1.0.14177</vt:lpwstr>
  </property>
  <property fmtid="{D5CDD505-2E9C-101B-9397-08002B2CF9AE}" pid="3" name="ICV">
    <vt:lpwstr>BF87F09A13BF4C82824DF51E32B770CB_13</vt:lpwstr>
  </property>
</Properties>
</file>