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省重点研究与开发计划项目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资金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万元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 电子版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 xml:space="preserve"> 纸质版（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 ）份</w:t>
            </w:r>
          </w:p>
        </w:tc>
      </w:tr>
    </w:tbl>
    <w:p>
      <w:bookmarkStart w:id="1" w:name="_GoBack"/>
      <w:bookmarkEnd w:id="1"/>
    </w:p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NGE5N2UwNTczZDAyZjdiODM1YTdhNjQwNGYyZDEifQ=="/>
  </w:docVars>
  <w:rsids>
    <w:rsidRoot w:val="00000000"/>
    <w:rsid w:val="101614F3"/>
    <w:rsid w:val="1DDA1C9A"/>
    <w:rsid w:val="50C673B0"/>
    <w:rsid w:val="65F462A7"/>
    <w:rsid w:val="679756E3"/>
    <w:rsid w:val="6F840CD2"/>
    <w:rsid w:val="79DA546C"/>
    <w:rsid w:val="7A2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32</TotalTime>
  <ScaleCrop>false</ScaleCrop>
  <LinksUpToDate>false</LinksUpToDate>
  <CharactersWithSpaces>1723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冯晓燕</cp:lastModifiedBy>
  <dcterms:modified xsi:type="dcterms:W3CDTF">2023-05-05T05:44:57Z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F73F36269B3143C380503A9647D7C9FB_13</vt:lpwstr>
  </property>
</Properties>
</file>